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280" w:rsidRPr="00BF04D3" w:rsidRDefault="003058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04D3">
        <w:rPr>
          <w:rFonts w:ascii="Times New Roman" w:eastAsia="Times New Roman" w:hAnsi="Times New Roman" w:cs="Times New Roman"/>
          <w:b/>
          <w:u w:val="single"/>
        </w:rPr>
        <w:t>Convocation du Conseil Municipal</w:t>
      </w:r>
      <w:r w:rsidR="00C543C1" w:rsidRPr="00BF04D3">
        <w:rPr>
          <w:rFonts w:ascii="Times New Roman" w:eastAsia="Times New Roman" w:hAnsi="Times New Roman" w:cs="Times New Roman"/>
        </w:rPr>
        <w:t xml:space="preserve"> du </w:t>
      </w:r>
      <w:r w:rsidR="00C224CB">
        <w:rPr>
          <w:rFonts w:ascii="Times New Roman" w:eastAsia="Times New Roman" w:hAnsi="Times New Roman" w:cs="Times New Roman"/>
        </w:rPr>
        <w:t>17 février</w:t>
      </w:r>
      <w:r w:rsidR="00E93D38">
        <w:rPr>
          <w:rFonts w:ascii="Times New Roman" w:eastAsia="Times New Roman" w:hAnsi="Times New Roman" w:cs="Times New Roman"/>
        </w:rPr>
        <w:t xml:space="preserve"> 2020</w:t>
      </w:r>
      <w:r w:rsidR="00FA4295">
        <w:rPr>
          <w:rFonts w:ascii="Times New Roman" w:eastAsia="Times New Roman" w:hAnsi="Times New Roman" w:cs="Times New Roman"/>
        </w:rPr>
        <w:t xml:space="preserve"> </w:t>
      </w:r>
      <w:r w:rsidRPr="00BF04D3">
        <w:rPr>
          <w:rFonts w:ascii="Times New Roman" w:eastAsia="Times New Roman" w:hAnsi="Times New Roman" w:cs="Times New Roman"/>
        </w:rPr>
        <w:t>adressée individuellement à MM. les Conseillers Municipaux avec pour ordre du jour :</w:t>
      </w:r>
    </w:p>
    <w:p w:rsidR="00FD2280" w:rsidRPr="00BF04D3" w:rsidRDefault="00FD22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3D38" w:rsidRDefault="00A61E13" w:rsidP="00C224CB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224CB">
        <w:rPr>
          <w:rFonts w:ascii="Times New Roman" w:eastAsia="Times New Roman" w:hAnsi="Times New Roman" w:cs="Times New Roman"/>
        </w:rPr>
        <w:t>Vote du Compte Administratif 2019</w:t>
      </w:r>
    </w:p>
    <w:p w:rsidR="00C224CB" w:rsidRDefault="00C224CB" w:rsidP="00C224CB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Vote du Compte de Gestion 2019</w:t>
      </w:r>
    </w:p>
    <w:p w:rsidR="00C224CB" w:rsidRDefault="00C224CB" w:rsidP="00C224CB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Délibération d’affectation du résultat</w:t>
      </w:r>
    </w:p>
    <w:p w:rsidR="00C224CB" w:rsidRDefault="00C224CB" w:rsidP="00C224CB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Conclusions Avocat dossier GFA de la Garenne</w:t>
      </w:r>
    </w:p>
    <w:p w:rsidR="00C224CB" w:rsidRDefault="00C224CB" w:rsidP="00C224CB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Préparation élections</w:t>
      </w:r>
    </w:p>
    <w:p w:rsidR="00D968E4" w:rsidRPr="00BF04D3" w:rsidRDefault="00D968E4" w:rsidP="00D968E4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Questions diverses</w:t>
      </w:r>
    </w:p>
    <w:p w:rsidR="00B03690" w:rsidRDefault="00B036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5342B3" w:rsidRDefault="005342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22EA" w:rsidRPr="005342B3" w:rsidRDefault="00862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D2280" w:rsidRDefault="00F84B2A" w:rsidP="00A862A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Séance du </w:t>
      </w:r>
      <w:r w:rsidR="00C224CB">
        <w:rPr>
          <w:rFonts w:ascii="Times New Roman" w:eastAsia="Times New Roman" w:hAnsi="Times New Roman" w:cs="Times New Roman"/>
          <w:b/>
          <w:sz w:val="32"/>
          <w:u w:val="single"/>
        </w:rPr>
        <w:t>27</w:t>
      </w:r>
      <w:r w:rsidR="00E93D38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proofErr w:type="gramStart"/>
      <w:r w:rsidR="00E93D38">
        <w:rPr>
          <w:rFonts w:ascii="Times New Roman" w:eastAsia="Times New Roman" w:hAnsi="Times New Roman" w:cs="Times New Roman"/>
          <w:b/>
          <w:sz w:val="32"/>
          <w:u w:val="single"/>
        </w:rPr>
        <w:t>février</w:t>
      </w:r>
      <w:r w:rsidR="00936D86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C36B92">
        <w:rPr>
          <w:rFonts w:ascii="Times New Roman" w:eastAsia="Times New Roman" w:hAnsi="Times New Roman" w:cs="Times New Roman"/>
          <w:b/>
          <w:sz w:val="32"/>
          <w:u w:val="single"/>
        </w:rPr>
        <w:t xml:space="preserve"> 20</w:t>
      </w:r>
      <w:r w:rsidR="00D93AE2">
        <w:rPr>
          <w:rFonts w:ascii="Times New Roman" w:eastAsia="Times New Roman" w:hAnsi="Times New Roman" w:cs="Times New Roman"/>
          <w:b/>
          <w:sz w:val="32"/>
          <w:u w:val="single"/>
        </w:rPr>
        <w:t>20</w:t>
      </w:r>
      <w:proofErr w:type="gramEnd"/>
      <w:r w:rsidR="003058EF">
        <w:rPr>
          <w:rFonts w:ascii="Times New Roman" w:eastAsia="Times New Roman" w:hAnsi="Times New Roman" w:cs="Times New Roman"/>
          <w:b/>
          <w:sz w:val="32"/>
          <w:u w:val="single"/>
        </w:rPr>
        <w:t xml:space="preserve"> à 18 heures 00</w:t>
      </w:r>
    </w:p>
    <w:p w:rsidR="00E00ACE" w:rsidRDefault="00E00ACE" w:rsidP="00CB6733">
      <w:pPr>
        <w:spacing w:after="0" w:line="240" w:lineRule="auto"/>
        <w:ind w:left="1056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FD2280" w:rsidRPr="00632132" w:rsidRDefault="003058EF" w:rsidP="00F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sz w:val="24"/>
          <w:szCs w:val="24"/>
        </w:rPr>
        <w:t>L’an deux mil</w:t>
      </w:r>
      <w:r w:rsidR="00D93AE2">
        <w:rPr>
          <w:rFonts w:ascii="Times New Roman" w:eastAsia="Times New Roman" w:hAnsi="Times New Roman" w:cs="Times New Roman"/>
          <w:sz w:val="24"/>
          <w:szCs w:val="24"/>
        </w:rPr>
        <w:t>le vingt</w:t>
      </w:r>
      <w:r w:rsidR="00D449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vingt</w:t>
      </w:r>
      <w:r w:rsidR="003E3E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>sept</w:t>
      </w:r>
      <w:r w:rsidR="00E93D38">
        <w:rPr>
          <w:rFonts w:ascii="Times New Roman" w:eastAsia="Times New Roman" w:hAnsi="Times New Roman" w:cs="Times New Roman"/>
          <w:sz w:val="24"/>
          <w:szCs w:val="24"/>
        </w:rPr>
        <w:t xml:space="preserve"> février</w:t>
      </w:r>
      <w:r w:rsidR="00DC5C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les membres du Conseil Municipal se sont réunis à la mairie de S</w:t>
      </w:r>
      <w:r w:rsidR="00F24C97" w:rsidRPr="00632132">
        <w:rPr>
          <w:rFonts w:ascii="Times New Roman" w:eastAsia="Times New Roman" w:hAnsi="Times New Roman" w:cs="Times New Roman"/>
          <w:sz w:val="24"/>
          <w:szCs w:val="24"/>
        </w:rPr>
        <w:t>OULIGNAC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, sous la présidence de Monsieur Michel DULON, Maire.</w:t>
      </w:r>
    </w:p>
    <w:p w:rsidR="00FD2280" w:rsidRPr="00632132" w:rsidRDefault="00FD2280" w:rsidP="00CB6733">
      <w:pPr>
        <w:spacing w:after="0" w:line="240" w:lineRule="auto"/>
        <w:ind w:left="1080" w:hanging="24"/>
        <w:rPr>
          <w:rFonts w:ascii="Times New Roman" w:eastAsia="Times New Roman" w:hAnsi="Times New Roman" w:cs="Times New Roman"/>
          <w:sz w:val="24"/>
          <w:szCs w:val="24"/>
        </w:rPr>
      </w:pPr>
    </w:p>
    <w:p w:rsidR="00890606" w:rsidRDefault="003058EF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M. Michel DULON, M. Bruno LAVILLE, </w:t>
      </w:r>
      <w:r w:rsidR="009731B7">
        <w:rPr>
          <w:rFonts w:ascii="Times New Roman" w:eastAsia="Times New Roman" w:hAnsi="Times New Roman" w:cs="Times New Roman"/>
          <w:sz w:val="24"/>
          <w:szCs w:val="24"/>
        </w:rPr>
        <w:t xml:space="preserve">M. NUNES </w:t>
      </w:r>
      <w:proofErr w:type="spellStart"/>
      <w:r w:rsidR="009731B7">
        <w:rPr>
          <w:rFonts w:ascii="Times New Roman" w:eastAsia="Times New Roman" w:hAnsi="Times New Roman" w:cs="Times New Roman"/>
          <w:sz w:val="24"/>
          <w:szCs w:val="24"/>
        </w:rPr>
        <w:t>Alcino</w:t>
      </w:r>
      <w:proofErr w:type="spellEnd"/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(arrivée en cours de réunion)</w:t>
      </w:r>
      <w:r w:rsidR="009731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19FC" w:rsidRPr="00632132">
        <w:rPr>
          <w:rFonts w:ascii="Times New Roman" w:eastAsia="Times New Roman" w:hAnsi="Times New Roman" w:cs="Times New Roman"/>
          <w:sz w:val="24"/>
          <w:szCs w:val="24"/>
        </w:rPr>
        <w:t>M. Benoît DUPOUY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04CF">
        <w:rPr>
          <w:rFonts w:ascii="Times New Roman" w:eastAsia="Times New Roman" w:hAnsi="Times New Roman" w:cs="Times New Roman"/>
          <w:sz w:val="24"/>
          <w:szCs w:val="24"/>
        </w:rPr>
        <w:t>M. VIALA Jérôme</w:t>
      </w:r>
      <w:r w:rsidR="009F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4C72">
        <w:rPr>
          <w:rFonts w:ascii="Times New Roman" w:eastAsia="Times New Roman" w:hAnsi="Times New Roman" w:cs="Times New Roman"/>
          <w:sz w:val="24"/>
          <w:szCs w:val="24"/>
        </w:rPr>
        <w:t>M. TILLHET Richard,</w:t>
      </w:r>
      <w:r w:rsidR="00633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D38">
        <w:rPr>
          <w:rFonts w:ascii="Times New Roman" w:eastAsia="Times New Roman" w:hAnsi="Times New Roman" w:cs="Times New Roman"/>
          <w:sz w:val="24"/>
          <w:szCs w:val="24"/>
        </w:rPr>
        <w:t>MINJAT Nicolas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(arrivée en cours de réunion)</w:t>
      </w:r>
      <w:r w:rsidR="00E93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7A1F">
        <w:rPr>
          <w:rFonts w:ascii="Times New Roman" w:eastAsia="Times New Roman" w:hAnsi="Times New Roman" w:cs="Times New Roman"/>
          <w:sz w:val="24"/>
          <w:szCs w:val="24"/>
        </w:rPr>
        <w:t>Mme VAZ Florence,</w:t>
      </w:r>
      <w:r w:rsidR="00FD6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D86">
        <w:rPr>
          <w:rFonts w:ascii="Times New Roman" w:eastAsia="Times New Roman" w:hAnsi="Times New Roman" w:cs="Times New Roman"/>
          <w:sz w:val="24"/>
          <w:szCs w:val="24"/>
        </w:rPr>
        <w:t xml:space="preserve">Mme </w:t>
      </w:r>
      <w:r w:rsidR="006046CC">
        <w:rPr>
          <w:rFonts w:ascii="Times New Roman" w:eastAsia="Times New Roman" w:hAnsi="Times New Roman" w:cs="Times New Roman"/>
          <w:sz w:val="24"/>
          <w:szCs w:val="24"/>
        </w:rPr>
        <w:t>HOFF Florence</w:t>
      </w:r>
      <w:r w:rsidR="009731B7">
        <w:rPr>
          <w:rFonts w:ascii="Times New Roman" w:eastAsia="Times New Roman" w:hAnsi="Times New Roman" w:cs="Times New Roman"/>
          <w:sz w:val="24"/>
          <w:szCs w:val="24"/>
        </w:rPr>
        <w:t>, Mme BOUDON Chantal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>, LOBRE Blandine</w:t>
      </w:r>
    </w:p>
    <w:p w:rsidR="00E93D38" w:rsidRDefault="00E93D38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C90" w:rsidRDefault="00890606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="00FD66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excusé</w:t>
      </w:r>
      <w:r w:rsidR="00FA7CB3" w:rsidRPr="00FA7CB3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="008375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4B2A" w:rsidRPr="00F84B2A" w:rsidRDefault="00F84B2A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B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D2280" w:rsidRDefault="003058EF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>Florence VAZ</w:t>
      </w:r>
    </w:p>
    <w:p w:rsidR="00E93D38" w:rsidRDefault="00E93D3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38" w:rsidRDefault="00E93D3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38" w:rsidRDefault="00E93D38" w:rsidP="00E93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Monsieur le Maire propose d’ajouter à l’ordre du jour une délibération :</w:t>
      </w:r>
    </w:p>
    <w:p w:rsidR="00E93D38" w:rsidRDefault="00E93D38" w:rsidP="00E93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D38" w:rsidRPr="00E93D38" w:rsidRDefault="00C224CB" w:rsidP="00E93D38">
      <w:pPr>
        <w:pStyle w:val="Paragraphedeliste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logement 857 Ter le Bourg Est</w:t>
      </w:r>
    </w:p>
    <w:p w:rsidR="004D1E8F" w:rsidRDefault="004D1E8F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9ED" w:rsidRDefault="004529ED" w:rsidP="004529ED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A21CA" w:rsidRPr="008A21CA" w:rsidRDefault="008A21CA" w:rsidP="008A21CA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81B9A" w:rsidRDefault="00F84C72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</w:t>
      </w:r>
      <w:r w:rsidR="00E93D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LIBERATION </w:t>
      </w:r>
      <w:r w:rsidR="00C224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LOCATION LOGEMENT 857 TER LE BOURG EST</w:t>
      </w:r>
    </w:p>
    <w:p w:rsidR="00081B9A" w:rsidRDefault="00081B9A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précise que le logement 857 ter le Bourg Est, va être loué à compter du 1</w:t>
      </w:r>
      <w:r w:rsidRPr="002F5EE7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mars 2020, pour une durée de trois ans, soit jusqu’au 28 février 2023, à Mme VALETTE Caroline.</w:t>
      </w: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loyer sera de 590 Euros, il sera révisable chaque année sur la base de l’indice du 4</w:t>
      </w:r>
      <w:r w:rsidRPr="002F5EE7">
        <w:rPr>
          <w:rFonts w:ascii="Times New Roman" w:hAnsi="Times New Roman"/>
          <w:sz w:val="24"/>
          <w:szCs w:val="24"/>
          <w:vertAlign w:val="superscript"/>
        </w:rPr>
        <w:t>ème</w:t>
      </w:r>
      <w:r>
        <w:rPr>
          <w:rFonts w:ascii="Times New Roman" w:hAnsi="Times New Roman"/>
          <w:sz w:val="24"/>
          <w:szCs w:val="24"/>
        </w:rPr>
        <w:t xml:space="preserve"> trimestre.</w:t>
      </w: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est convenu pour le mois de mars 2020, que le montant du loyer sera de 400 € au lieu de 590 € en dédommagement du nettoyage du logement par Mme VALETTE.</w:t>
      </w: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CB" w:rsidRDefault="00C224CB" w:rsidP="00C22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dépôt de garantie sera équivalent à un mois de loyer soit 590 €.</w:t>
      </w:r>
    </w:p>
    <w:p w:rsidR="00C224CB" w:rsidRPr="00C50DAD" w:rsidRDefault="00C224CB" w:rsidP="00C224C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938E7" w:rsidRDefault="008938E7" w:rsidP="00F84C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38E7" w:rsidRDefault="008938E7" w:rsidP="00893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D3">
        <w:rPr>
          <w:rFonts w:ascii="Times New Roman" w:hAnsi="Times New Roman"/>
          <w:sz w:val="24"/>
          <w:szCs w:val="24"/>
        </w:rPr>
        <w:t xml:space="preserve">Pour : </w:t>
      </w:r>
      <w:r w:rsidR="00E93D38">
        <w:rPr>
          <w:rFonts w:ascii="Times New Roman" w:hAnsi="Times New Roman"/>
          <w:sz w:val="24"/>
          <w:szCs w:val="24"/>
        </w:rPr>
        <w:t xml:space="preserve"> 9                           </w:t>
      </w:r>
      <w:r w:rsidRPr="008C4BD3">
        <w:rPr>
          <w:rFonts w:ascii="Times New Roman" w:hAnsi="Times New Roman"/>
          <w:sz w:val="24"/>
          <w:szCs w:val="24"/>
        </w:rPr>
        <w:t xml:space="preserve">Abstention : </w:t>
      </w:r>
      <w:r>
        <w:rPr>
          <w:rFonts w:ascii="Times New Roman" w:hAnsi="Times New Roman"/>
          <w:sz w:val="24"/>
          <w:szCs w:val="24"/>
        </w:rPr>
        <w:t>0</w:t>
      </w:r>
      <w:r w:rsidRPr="008C4BD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C4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4BD3">
        <w:rPr>
          <w:rFonts w:ascii="Times New Roman" w:hAnsi="Times New Roman"/>
          <w:sz w:val="24"/>
          <w:szCs w:val="24"/>
        </w:rPr>
        <w:t xml:space="preserve">         Contre : </w:t>
      </w:r>
      <w:r>
        <w:rPr>
          <w:rFonts w:ascii="Times New Roman" w:hAnsi="Times New Roman"/>
          <w:sz w:val="24"/>
          <w:szCs w:val="24"/>
        </w:rPr>
        <w:t>0</w:t>
      </w:r>
    </w:p>
    <w:p w:rsidR="008938E7" w:rsidRDefault="008938E7" w:rsidP="00F84C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731B7" w:rsidRDefault="00D4410E" w:rsidP="009731B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</w:p>
    <w:p w:rsidR="0002332B" w:rsidRDefault="0002332B" w:rsidP="0002332B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951CA">
        <w:rPr>
          <w:rFonts w:ascii="Times New Roman" w:hAnsi="Times New Roman"/>
          <w:i/>
          <w:iCs/>
          <w:sz w:val="24"/>
          <w:szCs w:val="24"/>
        </w:rPr>
        <w:t>Arrivé</w:t>
      </w:r>
      <w:r>
        <w:rPr>
          <w:rFonts w:ascii="Times New Roman" w:hAnsi="Times New Roman"/>
          <w:i/>
          <w:iCs/>
          <w:sz w:val="24"/>
          <w:szCs w:val="24"/>
        </w:rPr>
        <w:t>es</w:t>
      </w:r>
      <w:r w:rsidRPr="004951CA">
        <w:rPr>
          <w:rFonts w:ascii="Times New Roman" w:hAnsi="Times New Roman"/>
          <w:i/>
          <w:iCs/>
          <w:sz w:val="24"/>
          <w:szCs w:val="24"/>
        </w:rPr>
        <w:t xml:space="preserve"> de M. MINJAT Nicolas</w:t>
      </w:r>
      <w:r>
        <w:rPr>
          <w:rFonts w:ascii="Times New Roman" w:hAnsi="Times New Roman"/>
          <w:i/>
          <w:iCs/>
          <w:sz w:val="24"/>
          <w:szCs w:val="24"/>
        </w:rPr>
        <w:t xml:space="preserve"> et de M. NUNES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Alcino</w:t>
      </w:r>
      <w:proofErr w:type="spellEnd"/>
    </w:p>
    <w:p w:rsidR="0002332B" w:rsidRDefault="0002332B" w:rsidP="0002332B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2332B" w:rsidRDefault="0002332B" w:rsidP="0002332B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2332B" w:rsidRDefault="0002332B" w:rsidP="0002332B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2332B" w:rsidRPr="004951CA" w:rsidRDefault="0002332B" w:rsidP="000233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02332B" w:rsidRPr="002F5C39" w:rsidRDefault="0002332B" w:rsidP="009731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E3B36" w:rsidRPr="002F5C39" w:rsidRDefault="003E3B36" w:rsidP="003E3B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13649" w:rsidRDefault="0002332B" w:rsidP="003E3B3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VOTE DU COMPTE ADMINISTRATIF 2019</w:t>
      </w:r>
    </w:p>
    <w:p w:rsidR="00813649" w:rsidRDefault="00813649" w:rsidP="003E3B3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Le conseil municipal,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Vu le code général des collectivités territoriales, notamment ses articles L2121-29, L1612-12, L2121-14, L2121-31, D2342-1 et suivants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Vu le compte de gestion de l’exercice 2019 établi par le Comptable des Finances Publiques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Considérant que Madame Chantal BOUDON, Adjointe au Maire, a été désignée pour présider la séance lors de l’adoption du Compte Administratif 2019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Considérant la présentation du Compte Administratif de l’exercice 2019 par Monsieur Michel DULON, Maire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Considérant que Monsieur Michel DULON, Maire, s’est retiré au moment du vote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Délibérant sur le Compte Administratif de l’exercice 2019 par l’Ordonnateur, après s’être fait présenter le budget primitif et la décision modificative de l’exercice écoulé ;</w:t>
      </w:r>
    </w:p>
    <w:p w:rsidR="0002332B" w:rsidRPr="0002332B" w:rsidRDefault="0002332B" w:rsidP="0002332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2332B" w:rsidRPr="0002332B" w:rsidRDefault="0002332B" w:rsidP="0002332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 xml:space="preserve">Lui donne acte de la présentation faite du compte administratif, lequel peut se résumer ainsi : </w:t>
      </w:r>
    </w:p>
    <w:p w:rsidR="0002332B" w:rsidRPr="00F5190C" w:rsidRDefault="0002332B" w:rsidP="000233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54"/>
        <w:gridCol w:w="1123"/>
        <w:gridCol w:w="1146"/>
        <w:gridCol w:w="1123"/>
        <w:gridCol w:w="1123"/>
        <w:gridCol w:w="1123"/>
      </w:tblGrid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LIBELLE</w:t>
            </w:r>
          </w:p>
        </w:tc>
        <w:tc>
          <w:tcPr>
            <w:tcW w:w="2265" w:type="dxa"/>
            <w:gridSpan w:val="2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Fonctionnement</w:t>
            </w:r>
          </w:p>
        </w:tc>
        <w:tc>
          <w:tcPr>
            <w:tcW w:w="2236" w:type="dxa"/>
            <w:gridSpan w:val="2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Investissement</w:t>
            </w:r>
          </w:p>
        </w:tc>
        <w:tc>
          <w:tcPr>
            <w:tcW w:w="2195" w:type="dxa"/>
            <w:gridSpan w:val="2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Ensemble</w:t>
            </w: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dépenses</w:t>
            </w:r>
            <w:proofErr w:type="gramEnd"/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recettes</w:t>
            </w:r>
            <w:proofErr w:type="gramEnd"/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dépenses</w:t>
            </w:r>
            <w:proofErr w:type="gramEnd"/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recettes</w:t>
            </w:r>
            <w:proofErr w:type="gramEnd"/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dépenses</w:t>
            </w:r>
            <w:proofErr w:type="gramEnd"/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recettes</w:t>
            </w:r>
            <w:proofErr w:type="gramEnd"/>
          </w:p>
        </w:tc>
      </w:tr>
      <w:tr w:rsidR="0002332B" w:rsidRPr="00696898" w:rsidTr="0077655F">
        <w:trPr>
          <w:trHeight w:val="489"/>
        </w:trPr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déficit</w:t>
            </w:r>
            <w:proofErr w:type="gramEnd"/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excédent</w:t>
            </w:r>
            <w:proofErr w:type="gramEnd"/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déficit</w:t>
            </w:r>
            <w:proofErr w:type="gramEnd"/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excédent</w:t>
            </w:r>
            <w:proofErr w:type="gramEnd"/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déficit</w:t>
            </w:r>
            <w:proofErr w:type="gramEnd"/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excédent</w:t>
            </w:r>
            <w:proofErr w:type="gramEnd"/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 xml:space="preserve">Résultats </w:t>
            </w:r>
          </w:p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Reportés</w:t>
            </w: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37 932,89</w:t>
            </w: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84 194,95</w:t>
            </w: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222 127,84</w:t>
            </w: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 xml:space="preserve">Opération de </w:t>
            </w:r>
          </w:p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L’exercice</w:t>
            </w: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41 237,56</w:t>
            </w: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50 624,51</w:t>
            </w: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86 130,39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49 033,49</w:t>
            </w: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7 367,95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299 658,00</w:t>
            </w: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 xml:space="preserve">Résultat de </w:t>
            </w:r>
          </w:p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96898">
              <w:rPr>
                <w:sz w:val="20"/>
                <w:szCs w:val="20"/>
              </w:rPr>
              <w:t>clôture</w:t>
            </w:r>
            <w:proofErr w:type="gramEnd"/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9 386,95</w:t>
            </w: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37 096,90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37 096,90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9386,95</w:t>
            </w: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Reste à réaliser</w:t>
            </w: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78 480,30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78 480,30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Totaux cumulés</w:t>
            </w: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41 237,56</w:t>
            </w: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8 557,40</w:t>
            </w: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164 610,69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133 228,44</w:t>
            </w: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05 848,25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21 785,84</w:t>
            </w:r>
          </w:p>
        </w:tc>
      </w:tr>
      <w:tr w:rsidR="0002332B" w:rsidRPr="00696898" w:rsidTr="0077655F">
        <w:tc>
          <w:tcPr>
            <w:tcW w:w="115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Résultats définitifs</w:t>
            </w:r>
          </w:p>
        </w:tc>
        <w:tc>
          <w:tcPr>
            <w:tcW w:w="1154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47 319,84</w:t>
            </w:r>
          </w:p>
        </w:tc>
        <w:tc>
          <w:tcPr>
            <w:tcW w:w="1146" w:type="dxa"/>
          </w:tcPr>
          <w:p w:rsidR="0002332B" w:rsidRPr="00696898" w:rsidRDefault="0002332B" w:rsidP="0077655F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31 382,25</w:t>
            </w: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2332B" w:rsidRPr="00696898" w:rsidRDefault="0002332B" w:rsidP="0077655F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15 937,59</w:t>
            </w:r>
          </w:p>
        </w:tc>
      </w:tr>
    </w:tbl>
    <w:p w:rsidR="0002332B" w:rsidRPr="00F5190C" w:rsidRDefault="0002332B" w:rsidP="000233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2332B" w:rsidRPr="0002332B" w:rsidRDefault="0002332B" w:rsidP="0002332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Adopte le compte administratif 2019 ;</w:t>
      </w:r>
    </w:p>
    <w:p w:rsidR="0002332B" w:rsidRPr="0002332B" w:rsidRDefault="0002332B" w:rsidP="0002332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Constate la stricte concordance entre le compte administratif 2019 et le compte de gestion 2019 établi par le comptable des Finances Publiques</w:t>
      </w:r>
    </w:p>
    <w:p w:rsidR="0002332B" w:rsidRPr="0002332B" w:rsidRDefault="0002332B" w:rsidP="0002332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Reconnaît la sincérité des restes à réaliser</w:t>
      </w:r>
    </w:p>
    <w:p w:rsidR="0002332B" w:rsidRPr="0002332B" w:rsidRDefault="0002332B" w:rsidP="0002332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332B">
        <w:rPr>
          <w:rFonts w:ascii="Times New Roman" w:eastAsia="Times New Roman" w:hAnsi="Times New Roman"/>
          <w:sz w:val="24"/>
          <w:szCs w:val="24"/>
        </w:rPr>
        <w:t>Arrête les résultats définitifs tels que résumés ci-dessus</w:t>
      </w:r>
    </w:p>
    <w:p w:rsidR="008938E7" w:rsidRDefault="008938E7" w:rsidP="008938E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</w:p>
    <w:p w:rsidR="008938E7" w:rsidRDefault="008938E7" w:rsidP="008938E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13649" w:rsidRDefault="00813649" w:rsidP="008136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D3">
        <w:rPr>
          <w:rFonts w:ascii="Times New Roman" w:hAnsi="Times New Roman"/>
          <w:sz w:val="24"/>
          <w:szCs w:val="24"/>
        </w:rPr>
        <w:t xml:space="preserve">Pour : </w:t>
      </w:r>
      <w:r w:rsidR="0002332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C4BD3">
        <w:rPr>
          <w:rFonts w:ascii="Times New Roman" w:hAnsi="Times New Roman"/>
          <w:sz w:val="24"/>
          <w:szCs w:val="24"/>
        </w:rPr>
        <w:t xml:space="preserve">Abstention : </w:t>
      </w:r>
      <w:r>
        <w:rPr>
          <w:rFonts w:ascii="Times New Roman" w:hAnsi="Times New Roman"/>
          <w:sz w:val="24"/>
          <w:szCs w:val="24"/>
        </w:rPr>
        <w:t>0</w:t>
      </w:r>
      <w:r w:rsidRPr="008C4BD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C4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4BD3">
        <w:rPr>
          <w:rFonts w:ascii="Times New Roman" w:hAnsi="Times New Roman"/>
          <w:sz w:val="24"/>
          <w:szCs w:val="24"/>
        </w:rPr>
        <w:t xml:space="preserve">         Contre : </w:t>
      </w:r>
      <w:r>
        <w:rPr>
          <w:rFonts w:ascii="Times New Roman" w:hAnsi="Times New Roman"/>
          <w:sz w:val="24"/>
          <w:szCs w:val="24"/>
        </w:rPr>
        <w:t>0</w:t>
      </w:r>
    </w:p>
    <w:p w:rsidR="00081B9A" w:rsidRDefault="00081B9A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0835" w:rsidRDefault="00730835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51CA" w:rsidRDefault="004951CA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6B69" w:rsidRDefault="00DE25D0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VOTE DU COMPTE DE GESTION 2019</w:t>
      </w:r>
    </w:p>
    <w:p w:rsidR="00DE25D0" w:rsidRDefault="00DE25D0" w:rsidP="00DE25D0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5D0" w:rsidRPr="008C4BD3" w:rsidRDefault="00DE25D0" w:rsidP="00DE25D0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Municipal, considérant qu’il n’y a pas lieu à observation, approuve le compte de gestion 2019, dressé par M. Claude DUFRESNE, Trésorier de Créon.</w:t>
      </w:r>
    </w:p>
    <w:p w:rsidR="00DE25D0" w:rsidRDefault="00DE25D0" w:rsidP="00DE25D0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5D0" w:rsidRPr="008C4BD3" w:rsidRDefault="00DE25D0" w:rsidP="00DE25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D3">
        <w:rPr>
          <w:rFonts w:ascii="Times New Roman" w:hAnsi="Times New Roman"/>
          <w:sz w:val="24"/>
          <w:szCs w:val="24"/>
        </w:rPr>
        <w:t xml:space="preserve">Pour : </w:t>
      </w:r>
      <w:r>
        <w:rPr>
          <w:rFonts w:ascii="Times New Roman" w:hAnsi="Times New Roman"/>
          <w:sz w:val="24"/>
          <w:szCs w:val="24"/>
        </w:rPr>
        <w:t xml:space="preserve">11                                </w:t>
      </w:r>
      <w:r w:rsidRPr="008C4BD3">
        <w:rPr>
          <w:rFonts w:ascii="Times New Roman" w:hAnsi="Times New Roman"/>
          <w:sz w:val="24"/>
          <w:szCs w:val="24"/>
        </w:rPr>
        <w:t xml:space="preserve">Abstention : </w:t>
      </w:r>
      <w:r>
        <w:rPr>
          <w:rFonts w:ascii="Times New Roman" w:hAnsi="Times New Roman"/>
          <w:sz w:val="24"/>
          <w:szCs w:val="24"/>
        </w:rPr>
        <w:t>0</w:t>
      </w:r>
      <w:r w:rsidRPr="008C4BD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C4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4BD3">
        <w:rPr>
          <w:rFonts w:ascii="Times New Roman" w:hAnsi="Times New Roman"/>
          <w:sz w:val="24"/>
          <w:szCs w:val="24"/>
        </w:rPr>
        <w:t xml:space="preserve">         Contre : </w:t>
      </w:r>
      <w:r>
        <w:rPr>
          <w:rFonts w:ascii="Times New Roman" w:hAnsi="Times New Roman"/>
          <w:sz w:val="24"/>
          <w:szCs w:val="24"/>
        </w:rPr>
        <w:t>0</w:t>
      </w:r>
    </w:p>
    <w:p w:rsidR="009D7D2D" w:rsidRDefault="009D7D2D" w:rsidP="008D7D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14" w:rsidRDefault="000F3314" w:rsidP="008D7D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314" w:rsidRDefault="00DE25D0" w:rsidP="008D7D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DELIBERATION D’AFFECTATION DU RESULTAT</w:t>
      </w:r>
    </w:p>
    <w:p w:rsidR="00DE25D0" w:rsidRDefault="00DE25D0" w:rsidP="008D7D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25D0" w:rsidRDefault="00DE25D0" w:rsidP="00DE2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Municipal, réuni sous la présidence de M. DULON Michel, après avoir entendu et approuvé le compte administratif de l’exercice 2019 décide de procéder à l’affectation du résultat de la section de fonctionnement comme suit : </w:t>
      </w:r>
    </w:p>
    <w:p w:rsidR="00DE25D0" w:rsidRPr="00414D1A" w:rsidRDefault="00DE25D0" w:rsidP="00DE25D0">
      <w:p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D1A">
        <w:rPr>
          <w:rFonts w:ascii="Times New Roman" w:hAnsi="Times New Roman" w:cs="Times New Roman"/>
          <w:sz w:val="24"/>
          <w:szCs w:val="24"/>
          <w:u w:val="single"/>
        </w:rPr>
        <w:t xml:space="preserve">Résultat de la section de fonctionnement à affecter </w:t>
      </w:r>
    </w:p>
    <w:p w:rsidR="00DE25D0" w:rsidRPr="00414D1A" w:rsidRDefault="00DE25D0" w:rsidP="00DE25D0">
      <w:pPr>
        <w:tabs>
          <w:tab w:val="left" w:pos="6237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de l’ex</w:t>
      </w:r>
      <w:r>
        <w:rPr>
          <w:rFonts w:ascii="Times New Roman" w:hAnsi="Times New Roman" w:cs="Times New Roman"/>
          <w:sz w:val="24"/>
          <w:szCs w:val="24"/>
        </w:rPr>
        <w:t xml:space="preserve">ercice : </w:t>
      </w:r>
      <w:r>
        <w:rPr>
          <w:rFonts w:ascii="Times New Roman" w:hAnsi="Times New Roman" w:cs="Times New Roman"/>
          <w:sz w:val="24"/>
          <w:szCs w:val="24"/>
        </w:rPr>
        <w:tab/>
        <w:t xml:space="preserve">excédent :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1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,95 </w:t>
      </w:r>
      <w:r w:rsidRPr="00414D1A">
        <w:rPr>
          <w:rFonts w:ascii="Times New Roman" w:hAnsi="Times New Roman" w:cs="Times New Roman"/>
          <w:sz w:val="24"/>
          <w:szCs w:val="24"/>
        </w:rPr>
        <w:t>Euros</w:t>
      </w:r>
    </w:p>
    <w:p w:rsidR="00DE25D0" w:rsidRPr="00414D1A" w:rsidRDefault="00DE25D0" w:rsidP="00DE25D0">
      <w:pPr>
        <w:tabs>
          <w:tab w:val="left" w:pos="6237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reporté de l’exercice antérieur</w:t>
      </w:r>
      <w:r w:rsidRPr="00414D1A">
        <w:rPr>
          <w:rFonts w:ascii="Times New Roman" w:hAnsi="Times New Roman" w:cs="Times New Roman"/>
          <w:sz w:val="24"/>
          <w:szCs w:val="24"/>
        </w:rPr>
        <w:tab/>
        <w:t xml:space="preserve">excédent :  </w:t>
      </w:r>
      <w:r>
        <w:rPr>
          <w:rFonts w:ascii="Times New Roman" w:hAnsi="Times New Roman" w:cs="Times New Roman"/>
          <w:sz w:val="24"/>
          <w:szCs w:val="24"/>
        </w:rPr>
        <w:t>137 932,89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414D1A" w:rsidRDefault="00DE25D0" w:rsidP="00DE25D0">
      <w:pPr>
        <w:tabs>
          <w:tab w:val="left" w:pos="6237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de clôture à affecter</w:t>
      </w:r>
      <w:r w:rsidRPr="00414D1A">
        <w:rPr>
          <w:rFonts w:ascii="Times New Roman" w:hAnsi="Times New Roman" w:cs="Times New Roman"/>
          <w:sz w:val="24"/>
          <w:szCs w:val="24"/>
        </w:rPr>
        <w:tab/>
        <w:t xml:space="preserve">excédent : </w:t>
      </w:r>
      <w:r>
        <w:rPr>
          <w:rFonts w:ascii="Times New Roman" w:hAnsi="Times New Roman" w:cs="Times New Roman"/>
          <w:sz w:val="24"/>
          <w:szCs w:val="24"/>
        </w:rPr>
        <w:t xml:space="preserve"> 147 4319,84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D03D82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DE25D0" w:rsidRPr="00414D1A" w:rsidRDefault="00DE25D0" w:rsidP="00DE25D0">
      <w:pPr>
        <w:tabs>
          <w:tab w:val="left" w:pos="680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  <w:u w:val="single"/>
        </w:rPr>
        <w:t>Besoin réel de financement de la section d’investissement</w:t>
      </w:r>
    </w:p>
    <w:p w:rsidR="00DE25D0" w:rsidRPr="00414D1A" w:rsidRDefault="00DE25D0" w:rsidP="00DE25D0">
      <w:pPr>
        <w:tabs>
          <w:tab w:val="left" w:pos="6237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de la section d’investissement de l’exercice :</w:t>
      </w:r>
      <w:r w:rsidRPr="00414D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déficit :     37 096,90 </w:t>
      </w:r>
      <w:r w:rsidRPr="00414D1A">
        <w:rPr>
          <w:rFonts w:ascii="Times New Roman" w:hAnsi="Times New Roman" w:cs="Times New Roman"/>
          <w:sz w:val="24"/>
          <w:szCs w:val="24"/>
        </w:rPr>
        <w:t>Euros</w:t>
      </w:r>
    </w:p>
    <w:p w:rsidR="00DE25D0" w:rsidRPr="00414D1A" w:rsidRDefault="00DE25D0" w:rsidP="00DE25D0">
      <w:pPr>
        <w:tabs>
          <w:tab w:val="left" w:pos="6379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reporté de l’exercice an</w:t>
      </w:r>
      <w:r>
        <w:rPr>
          <w:rFonts w:ascii="Times New Roman" w:hAnsi="Times New Roman" w:cs="Times New Roman"/>
          <w:sz w:val="24"/>
          <w:szCs w:val="24"/>
        </w:rPr>
        <w:t>térieur :</w:t>
      </w:r>
      <w:r>
        <w:rPr>
          <w:rFonts w:ascii="Times New Roman" w:hAnsi="Times New Roman" w:cs="Times New Roman"/>
          <w:sz w:val="24"/>
          <w:szCs w:val="24"/>
        </w:rPr>
        <w:tab/>
        <w:t>excédent : 84 194,95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414D1A" w:rsidRDefault="00DE25D0" w:rsidP="00DE25D0">
      <w:pPr>
        <w:tabs>
          <w:tab w:val="left" w:pos="6237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Résultat comptable cumulé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excédent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: 47 098,05 </w:t>
      </w:r>
      <w:r w:rsidRPr="00414D1A">
        <w:rPr>
          <w:rFonts w:ascii="Times New Roman" w:hAnsi="Times New Roman" w:cs="Times New Roman"/>
          <w:sz w:val="24"/>
          <w:szCs w:val="24"/>
        </w:rPr>
        <w:t>Euros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 xml:space="preserve">Dépenses d’investissement engagées non mandatées : </w:t>
      </w:r>
      <w:r w:rsidRPr="00414D1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78 480,30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Recettes d’investissement re</w:t>
      </w:r>
      <w:r>
        <w:rPr>
          <w:rFonts w:ascii="Times New Roman" w:hAnsi="Times New Roman" w:cs="Times New Roman"/>
          <w:sz w:val="24"/>
          <w:szCs w:val="24"/>
        </w:rPr>
        <w:t xml:space="preserve">stant à réaliser 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14D1A">
        <w:rPr>
          <w:rFonts w:ascii="Times New Roman" w:hAnsi="Times New Roman" w:cs="Times New Roman"/>
          <w:sz w:val="24"/>
          <w:szCs w:val="24"/>
        </w:rPr>
        <w:t xml:space="preserve">                 0 Euros</w:t>
      </w:r>
    </w:p>
    <w:p w:rsidR="00DE25D0" w:rsidRPr="00414D1A" w:rsidRDefault="00DE25D0" w:rsidP="00DE25D0">
      <w:pPr>
        <w:tabs>
          <w:tab w:val="left" w:pos="6379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Solde des res</w:t>
      </w:r>
      <w:r>
        <w:rPr>
          <w:rFonts w:ascii="Times New Roman" w:hAnsi="Times New Roman" w:cs="Times New Roman"/>
          <w:sz w:val="24"/>
          <w:szCs w:val="24"/>
        </w:rPr>
        <w:t>tes à réaliser 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78 480,30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Besoin réel de financement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4D1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31 382,25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D03D82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DE25D0" w:rsidRPr="00414D1A" w:rsidRDefault="00DE25D0" w:rsidP="00DE25D0">
      <w:pPr>
        <w:tabs>
          <w:tab w:val="left" w:pos="6804"/>
        </w:tabs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D1A">
        <w:rPr>
          <w:rFonts w:ascii="Times New Roman" w:hAnsi="Times New Roman" w:cs="Times New Roman"/>
          <w:sz w:val="24"/>
          <w:szCs w:val="24"/>
          <w:u w:val="single"/>
        </w:rPr>
        <w:t>Affectation du résultat de la section de fonctionnement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En couverture du besoin réel de financement dégagé à la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Section d’investissement</w:t>
      </w:r>
    </w:p>
    <w:p w:rsidR="00DE25D0" w:rsidRPr="00414D1A" w:rsidRDefault="00DE25D0" w:rsidP="00DE25D0">
      <w:pPr>
        <w:tabs>
          <w:tab w:val="left" w:pos="6379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14D1A">
        <w:rPr>
          <w:rFonts w:ascii="Times New Roman" w:hAnsi="Times New Roman" w:cs="Times New Roman"/>
          <w:sz w:val="24"/>
          <w:szCs w:val="24"/>
        </w:rPr>
        <w:t>recette</w:t>
      </w:r>
      <w:proofErr w:type="gramEnd"/>
      <w:r w:rsidRPr="00414D1A">
        <w:rPr>
          <w:rFonts w:ascii="Times New Roman" w:hAnsi="Times New Roman" w:cs="Times New Roman"/>
          <w:sz w:val="24"/>
          <w:szCs w:val="24"/>
        </w:rPr>
        <w:t xml:space="preserve"> budgétaire au compte R 1068)</w:t>
      </w:r>
      <w:r w:rsidRPr="00414D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D1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31 382,25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Pr="00414D1A" w:rsidRDefault="00DE25D0" w:rsidP="00DE25D0">
      <w:pPr>
        <w:tabs>
          <w:tab w:val="left" w:pos="680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4D1A">
        <w:rPr>
          <w:rFonts w:ascii="Times New Roman" w:hAnsi="Times New Roman" w:cs="Times New Roman"/>
          <w:sz w:val="24"/>
          <w:szCs w:val="24"/>
        </w:rPr>
        <w:t>En excédent reporté à la section de fonctionnement</w:t>
      </w:r>
      <w:r w:rsidRPr="00414D1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115 937,59</w:t>
      </w:r>
      <w:r w:rsidRPr="00414D1A">
        <w:rPr>
          <w:rFonts w:ascii="Times New Roman" w:hAnsi="Times New Roman" w:cs="Times New Roman"/>
          <w:sz w:val="24"/>
          <w:szCs w:val="24"/>
        </w:rPr>
        <w:t xml:space="preserve"> Euros</w:t>
      </w:r>
    </w:p>
    <w:p w:rsidR="00DE25D0" w:rsidRDefault="00DE25D0" w:rsidP="00DE25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5D0" w:rsidRDefault="00DE25D0" w:rsidP="00DE25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5D0" w:rsidRDefault="00DE25D0" w:rsidP="00DE25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D3">
        <w:rPr>
          <w:rFonts w:ascii="Times New Roman" w:hAnsi="Times New Roman"/>
          <w:sz w:val="24"/>
          <w:szCs w:val="24"/>
        </w:rPr>
        <w:t xml:space="preserve">Pour : </w:t>
      </w:r>
      <w:r>
        <w:rPr>
          <w:rFonts w:ascii="Times New Roman" w:hAnsi="Times New Roman"/>
          <w:sz w:val="24"/>
          <w:szCs w:val="24"/>
        </w:rPr>
        <w:t xml:space="preserve">11                               </w:t>
      </w:r>
      <w:r w:rsidRPr="008C4BD3">
        <w:rPr>
          <w:rFonts w:ascii="Times New Roman" w:hAnsi="Times New Roman"/>
          <w:sz w:val="24"/>
          <w:szCs w:val="24"/>
        </w:rPr>
        <w:t xml:space="preserve">Abstention : </w:t>
      </w:r>
      <w:r>
        <w:rPr>
          <w:rFonts w:ascii="Times New Roman" w:hAnsi="Times New Roman"/>
          <w:sz w:val="24"/>
          <w:szCs w:val="24"/>
        </w:rPr>
        <w:t>0</w:t>
      </w:r>
      <w:r w:rsidRPr="008C4BD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C4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4BD3">
        <w:rPr>
          <w:rFonts w:ascii="Times New Roman" w:hAnsi="Times New Roman"/>
          <w:sz w:val="24"/>
          <w:szCs w:val="24"/>
        </w:rPr>
        <w:t xml:space="preserve">         Contre : </w:t>
      </w:r>
      <w:r>
        <w:rPr>
          <w:rFonts w:ascii="Times New Roman" w:hAnsi="Times New Roman"/>
          <w:sz w:val="24"/>
          <w:szCs w:val="24"/>
        </w:rPr>
        <w:t>0</w:t>
      </w:r>
    </w:p>
    <w:p w:rsidR="00DE25D0" w:rsidRDefault="00DE25D0" w:rsidP="00DE25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5D0" w:rsidRDefault="00DE25D0" w:rsidP="008D7D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0835" w:rsidRDefault="00DE25D0" w:rsidP="00833B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CONCLUSIONS AVOCAT DOSSIER GFA DE LA GARENNE</w:t>
      </w:r>
    </w:p>
    <w:p w:rsidR="00DE25D0" w:rsidRDefault="00DE25D0" w:rsidP="00833B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25D0" w:rsidRPr="001D2923" w:rsidRDefault="00DE25D0" w:rsidP="00833B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3">
        <w:rPr>
          <w:rFonts w:ascii="Times New Roman" w:hAnsi="Times New Roman" w:cs="Times New Roman"/>
          <w:sz w:val="24"/>
          <w:szCs w:val="24"/>
        </w:rPr>
        <w:t>Monsieur le Maire donne lecture des conclusions de l’avocate Maître BALTAZAR</w:t>
      </w:r>
      <w:r w:rsidR="00591E88">
        <w:rPr>
          <w:rFonts w:ascii="Times New Roman" w:hAnsi="Times New Roman" w:cs="Times New Roman"/>
          <w:sz w:val="24"/>
          <w:szCs w:val="24"/>
        </w:rPr>
        <w:t>.</w:t>
      </w:r>
    </w:p>
    <w:p w:rsidR="00DE25D0" w:rsidRPr="001D2923" w:rsidRDefault="00DE25D0" w:rsidP="00833B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923" w:rsidRDefault="001D2923" w:rsidP="001D29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1D2923" w:rsidRDefault="001D2923" w:rsidP="001D29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PREPARATION ELECTIONS</w:t>
      </w:r>
    </w:p>
    <w:p w:rsidR="001D2923" w:rsidRDefault="001D2923" w:rsidP="001D29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D2923" w:rsidRPr="001D2923" w:rsidRDefault="001D2923" w:rsidP="001D29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923">
        <w:rPr>
          <w:rFonts w:ascii="Times New Roman" w:hAnsi="Times New Roman"/>
          <w:sz w:val="24"/>
          <w:szCs w:val="24"/>
        </w:rPr>
        <w:t>Le planning de permanence pour les élections municipales des 15 et 22 mars prochain est établi.</w:t>
      </w:r>
    </w:p>
    <w:p w:rsidR="0001627D" w:rsidRPr="0001627D" w:rsidRDefault="0001627D" w:rsidP="001D29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5854" w:rsidRPr="000C5854" w:rsidRDefault="000C5854" w:rsidP="000C5854">
      <w:pPr>
        <w:pStyle w:val="Paragraphedeliste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380351" w:rsidRDefault="00380351" w:rsidP="00833BC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E32007" w:rsidRDefault="00EA4515" w:rsidP="004725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 DIVERSES</w:t>
      </w:r>
    </w:p>
    <w:p w:rsidR="00E32007" w:rsidRDefault="00E32007" w:rsidP="004725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6EBA" w:rsidRDefault="001D2923" w:rsidP="001D2923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Autorisation de stationnement taxi : M. le Maire précise que M. LARTIGOU Stéphane a renoncé à l’autorisation de stationnement de taxi qui lui avait été délivré le 1</w:t>
      </w:r>
      <w:r w:rsidRPr="001D2923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juin 2019. </w:t>
      </w:r>
      <w:r w:rsidR="00304B63">
        <w:rPr>
          <w:rFonts w:ascii="Times New Roman" w:hAnsi="Times New Roman"/>
          <w:sz w:val="24"/>
          <w:szCs w:val="24"/>
        </w:rPr>
        <w:t>M. le Maire a pris un arrêté abrogeant l’arrêté n° 2019/12 accordant l’ADS à M. LARTIGOU Stéphane.</w:t>
      </w:r>
    </w:p>
    <w:p w:rsidR="00304B63" w:rsidRDefault="00304B63" w:rsidP="00304B63">
      <w:pPr>
        <w:pStyle w:val="Paragraphedeliste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donne lecture d’une nouvelle demande faite par Mme BOUKHAL Leslie demeurant à MERIGNAC. C’est à M. le Maire de prendre un arrêté s’il souhaite accorder cette nouvelle ADS. Le conseil municipal n’est pas défavorable pour allouer l’ADS à Mme BOUKHAL. M. le Maire va prendre l’arrêté correspondant dès que Mme BOUKHAL aura présenté tous les documents nécessaires.</w:t>
      </w:r>
    </w:p>
    <w:p w:rsidR="00304B63" w:rsidRDefault="00304B63" w:rsidP="00304B63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M. MINJAT précise que la murette au club house est dangereuse, il serait souhaitable de contacter le maçon qui l’a réalisée.</w:t>
      </w:r>
    </w:p>
    <w:p w:rsidR="00304B63" w:rsidRDefault="00304B63" w:rsidP="00304B63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Concernant la réalisation d’un barbecue à l’extérieur du club house, le coût serait de 1 750 €.</w:t>
      </w:r>
    </w:p>
    <w:p w:rsidR="00304B63" w:rsidRPr="00566EBA" w:rsidRDefault="00304B63" w:rsidP="00304B63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NUNES demande s’il ne serait pas envisageable de faire repeindre la pendule de l’église.</w:t>
      </w:r>
    </w:p>
    <w:p w:rsidR="00EE7122" w:rsidRPr="00EE7122" w:rsidRDefault="00EE7122" w:rsidP="00EE712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A09" w:rsidRDefault="00307A09" w:rsidP="00307A0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séance est levée à </w:t>
      </w:r>
      <w:r w:rsidR="00053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6EB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r w:rsidR="00304B6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404" w:rsidRPr="00307A09" w:rsidRDefault="00E41404" w:rsidP="00307A0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5BA" w:rsidRPr="003F6B19" w:rsidRDefault="000005BA" w:rsidP="00D52C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404" w:rsidRDefault="00E414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404" w:rsidRPr="003F6B19" w:rsidRDefault="00E414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41404" w:rsidRPr="003F6B19" w:rsidSect="000B4AF6">
      <w:pgSz w:w="11906" w:h="16838"/>
      <w:pgMar w:top="96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6260B"/>
    <w:multiLevelType w:val="hybridMultilevel"/>
    <w:tmpl w:val="3A9AACC8"/>
    <w:lvl w:ilvl="0" w:tplc="107CB2B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5E377C5"/>
    <w:multiLevelType w:val="hybridMultilevel"/>
    <w:tmpl w:val="49D4A822"/>
    <w:lvl w:ilvl="0" w:tplc="16C4C8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6808"/>
    <w:multiLevelType w:val="hybridMultilevel"/>
    <w:tmpl w:val="16D4446C"/>
    <w:lvl w:ilvl="0" w:tplc="2D684E4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62F3F"/>
    <w:multiLevelType w:val="hybridMultilevel"/>
    <w:tmpl w:val="DE4EE1AA"/>
    <w:lvl w:ilvl="0" w:tplc="3A4829B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456A9"/>
    <w:multiLevelType w:val="hybridMultilevel"/>
    <w:tmpl w:val="1AB29480"/>
    <w:lvl w:ilvl="0" w:tplc="B7641DD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E19CC"/>
    <w:multiLevelType w:val="hybridMultilevel"/>
    <w:tmpl w:val="68A61EB0"/>
    <w:lvl w:ilvl="0" w:tplc="9BF0E2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71C7"/>
    <w:multiLevelType w:val="hybridMultilevel"/>
    <w:tmpl w:val="2BE6709E"/>
    <w:lvl w:ilvl="0" w:tplc="BA38961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56D183E"/>
    <w:multiLevelType w:val="hybridMultilevel"/>
    <w:tmpl w:val="0A62B81A"/>
    <w:lvl w:ilvl="0" w:tplc="39FCC8C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6101CE3"/>
    <w:multiLevelType w:val="hybridMultilevel"/>
    <w:tmpl w:val="B8D0969A"/>
    <w:lvl w:ilvl="0" w:tplc="719840A0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091200"/>
    <w:multiLevelType w:val="hybridMultilevel"/>
    <w:tmpl w:val="E2B022B2"/>
    <w:lvl w:ilvl="0" w:tplc="F92E0C0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83A3B"/>
    <w:multiLevelType w:val="hybridMultilevel"/>
    <w:tmpl w:val="3662B394"/>
    <w:lvl w:ilvl="0" w:tplc="F91895D2">
      <w:start w:val="2019"/>
      <w:numFmt w:val="bullet"/>
      <w:lvlText w:val="-"/>
      <w:lvlJc w:val="left"/>
      <w:pPr>
        <w:ind w:left="927" w:hanging="360"/>
      </w:pPr>
      <w:rPr>
        <w:rFonts w:ascii="Times New Roman" w:eastAsia="Liberation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B603B1"/>
    <w:multiLevelType w:val="hybridMultilevel"/>
    <w:tmpl w:val="949CA1AE"/>
    <w:lvl w:ilvl="0" w:tplc="F59C0E36">
      <w:start w:val="1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A60598"/>
    <w:multiLevelType w:val="hybridMultilevel"/>
    <w:tmpl w:val="8E0002C6"/>
    <w:lvl w:ilvl="0" w:tplc="14A69F30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71E62B1"/>
    <w:multiLevelType w:val="hybridMultilevel"/>
    <w:tmpl w:val="CFFC7902"/>
    <w:lvl w:ilvl="0" w:tplc="5A6C70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6014C0"/>
    <w:multiLevelType w:val="hybridMultilevel"/>
    <w:tmpl w:val="2B4A2B02"/>
    <w:lvl w:ilvl="0" w:tplc="B60C71D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9D32D42"/>
    <w:multiLevelType w:val="hybridMultilevel"/>
    <w:tmpl w:val="320AF06C"/>
    <w:lvl w:ilvl="0" w:tplc="0E34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44D19"/>
    <w:multiLevelType w:val="hybridMultilevel"/>
    <w:tmpl w:val="BB6829F0"/>
    <w:lvl w:ilvl="0" w:tplc="BBFC343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66419"/>
    <w:multiLevelType w:val="hybridMultilevel"/>
    <w:tmpl w:val="E8C21A72"/>
    <w:lvl w:ilvl="0" w:tplc="9A7E4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6E50"/>
    <w:multiLevelType w:val="hybridMultilevel"/>
    <w:tmpl w:val="E0861274"/>
    <w:lvl w:ilvl="0" w:tplc="E64A643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75" w:hanging="360"/>
      </w:pPr>
    </w:lvl>
    <w:lvl w:ilvl="2" w:tplc="040C001B" w:tentative="1">
      <w:start w:val="1"/>
      <w:numFmt w:val="lowerRoman"/>
      <w:lvlText w:val="%3."/>
      <w:lvlJc w:val="right"/>
      <w:pPr>
        <w:ind w:left="3495" w:hanging="180"/>
      </w:pPr>
    </w:lvl>
    <w:lvl w:ilvl="3" w:tplc="040C000F" w:tentative="1">
      <w:start w:val="1"/>
      <w:numFmt w:val="decimal"/>
      <w:lvlText w:val="%4."/>
      <w:lvlJc w:val="left"/>
      <w:pPr>
        <w:ind w:left="4215" w:hanging="360"/>
      </w:pPr>
    </w:lvl>
    <w:lvl w:ilvl="4" w:tplc="040C0019" w:tentative="1">
      <w:start w:val="1"/>
      <w:numFmt w:val="lowerLetter"/>
      <w:lvlText w:val="%5."/>
      <w:lvlJc w:val="left"/>
      <w:pPr>
        <w:ind w:left="4935" w:hanging="360"/>
      </w:pPr>
    </w:lvl>
    <w:lvl w:ilvl="5" w:tplc="040C001B" w:tentative="1">
      <w:start w:val="1"/>
      <w:numFmt w:val="lowerRoman"/>
      <w:lvlText w:val="%6."/>
      <w:lvlJc w:val="right"/>
      <w:pPr>
        <w:ind w:left="5655" w:hanging="180"/>
      </w:pPr>
    </w:lvl>
    <w:lvl w:ilvl="6" w:tplc="040C000F" w:tentative="1">
      <w:start w:val="1"/>
      <w:numFmt w:val="decimal"/>
      <w:lvlText w:val="%7."/>
      <w:lvlJc w:val="left"/>
      <w:pPr>
        <w:ind w:left="6375" w:hanging="360"/>
      </w:pPr>
    </w:lvl>
    <w:lvl w:ilvl="7" w:tplc="040C0019" w:tentative="1">
      <w:start w:val="1"/>
      <w:numFmt w:val="lowerLetter"/>
      <w:lvlText w:val="%8."/>
      <w:lvlJc w:val="left"/>
      <w:pPr>
        <w:ind w:left="7095" w:hanging="360"/>
      </w:pPr>
    </w:lvl>
    <w:lvl w:ilvl="8" w:tplc="040C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3CE8613C"/>
    <w:multiLevelType w:val="hybridMultilevel"/>
    <w:tmpl w:val="E892DCD2"/>
    <w:lvl w:ilvl="0" w:tplc="5CDAADC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4AD6343A"/>
    <w:multiLevelType w:val="hybridMultilevel"/>
    <w:tmpl w:val="314CA4DE"/>
    <w:lvl w:ilvl="0" w:tplc="63A646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78F"/>
    <w:multiLevelType w:val="hybridMultilevel"/>
    <w:tmpl w:val="FD788808"/>
    <w:lvl w:ilvl="0" w:tplc="4628DDE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D184A"/>
    <w:multiLevelType w:val="hybridMultilevel"/>
    <w:tmpl w:val="4B8499D0"/>
    <w:lvl w:ilvl="0" w:tplc="AF607530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0B730A6"/>
    <w:multiLevelType w:val="hybridMultilevel"/>
    <w:tmpl w:val="161EEC3A"/>
    <w:lvl w:ilvl="0" w:tplc="CE4264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AB17BC2"/>
    <w:multiLevelType w:val="hybridMultilevel"/>
    <w:tmpl w:val="9000CB8E"/>
    <w:lvl w:ilvl="0" w:tplc="73E8086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74362B"/>
    <w:multiLevelType w:val="hybridMultilevel"/>
    <w:tmpl w:val="9CA26502"/>
    <w:lvl w:ilvl="0" w:tplc="F976BEC8">
      <w:numFmt w:val="bullet"/>
      <w:lvlText w:val="-"/>
      <w:lvlJc w:val="left"/>
      <w:pPr>
        <w:ind w:left="927" w:hanging="360"/>
      </w:pPr>
      <w:rPr>
        <w:rFonts w:ascii="Times New Roman" w:eastAsia="Liberation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BE23717"/>
    <w:multiLevelType w:val="hybridMultilevel"/>
    <w:tmpl w:val="E8F22260"/>
    <w:lvl w:ilvl="0" w:tplc="5C1C1F38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A26745B"/>
    <w:multiLevelType w:val="hybridMultilevel"/>
    <w:tmpl w:val="9DC2CBEC"/>
    <w:lvl w:ilvl="0" w:tplc="193C8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292146F"/>
    <w:multiLevelType w:val="hybridMultilevel"/>
    <w:tmpl w:val="1F0C64E6"/>
    <w:lvl w:ilvl="0" w:tplc="052E23CE">
      <w:start w:val="1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ACF3949"/>
    <w:multiLevelType w:val="hybridMultilevel"/>
    <w:tmpl w:val="3EFA8D68"/>
    <w:lvl w:ilvl="0" w:tplc="46D0E7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45937"/>
    <w:multiLevelType w:val="hybridMultilevel"/>
    <w:tmpl w:val="D388917A"/>
    <w:lvl w:ilvl="0" w:tplc="002878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0"/>
  </w:num>
  <w:num w:numId="5">
    <w:abstractNumId w:val="32"/>
  </w:num>
  <w:num w:numId="6">
    <w:abstractNumId w:val="21"/>
  </w:num>
  <w:num w:numId="7">
    <w:abstractNumId w:val="9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  <w:num w:numId="14">
    <w:abstractNumId w:val="27"/>
  </w:num>
  <w:num w:numId="15">
    <w:abstractNumId w:val="29"/>
  </w:num>
  <w:num w:numId="16">
    <w:abstractNumId w:val="6"/>
  </w:num>
  <w:num w:numId="17">
    <w:abstractNumId w:val="10"/>
  </w:num>
  <w:num w:numId="18">
    <w:abstractNumId w:val="25"/>
  </w:num>
  <w:num w:numId="19">
    <w:abstractNumId w:val="14"/>
  </w:num>
  <w:num w:numId="20">
    <w:abstractNumId w:val="28"/>
  </w:num>
  <w:num w:numId="21">
    <w:abstractNumId w:val="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1"/>
  </w:num>
  <w:num w:numId="25">
    <w:abstractNumId w:val="18"/>
  </w:num>
  <w:num w:numId="26">
    <w:abstractNumId w:val="24"/>
  </w:num>
  <w:num w:numId="27">
    <w:abstractNumId w:val="15"/>
  </w:num>
  <w:num w:numId="28">
    <w:abstractNumId w:val="30"/>
  </w:num>
  <w:num w:numId="29">
    <w:abstractNumId w:val="13"/>
  </w:num>
  <w:num w:numId="30">
    <w:abstractNumId w:val="11"/>
  </w:num>
  <w:num w:numId="31">
    <w:abstractNumId w:val="23"/>
  </w:num>
  <w:num w:numId="32">
    <w:abstractNumId w:val="4"/>
  </w:num>
  <w:num w:numId="3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0"/>
    <w:rsid w:val="000005BA"/>
    <w:rsid w:val="00002D71"/>
    <w:rsid w:val="00006720"/>
    <w:rsid w:val="00013D99"/>
    <w:rsid w:val="0001475B"/>
    <w:rsid w:val="0001627D"/>
    <w:rsid w:val="0002332B"/>
    <w:rsid w:val="00025D15"/>
    <w:rsid w:val="00034759"/>
    <w:rsid w:val="00042028"/>
    <w:rsid w:val="000464D9"/>
    <w:rsid w:val="000471E4"/>
    <w:rsid w:val="00050B92"/>
    <w:rsid w:val="000512B5"/>
    <w:rsid w:val="00051B70"/>
    <w:rsid w:val="000538A5"/>
    <w:rsid w:val="00054AEB"/>
    <w:rsid w:val="000558C6"/>
    <w:rsid w:val="00060EC7"/>
    <w:rsid w:val="00072DC3"/>
    <w:rsid w:val="00074A4C"/>
    <w:rsid w:val="00075EF2"/>
    <w:rsid w:val="000769D8"/>
    <w:rsid w:val="000807E7"/>
    <w:rsid w:val="00081B9A"/>
    <w:rsid w:val="00081E4A"/>
    <w:rsid w:val="000859B1"/>
    <w:rsid w:val="00086F30"/>
    <w:rsid w:val="0008768B"/>
    <w:rsid w:val="0009362E"/>
    <w:rsid w:val="0009451B"/>
    <w:rsid w:val="00095673"/>
    <w:rsid w:val="00095F5B"/>
    <w:rsid w:val="00097856"/>
    <w:rsid w:val="000B4AF6"/>
    <w:rsid w:val="000B7BF2"/>
    <w:rsid w:val="000C4035"/>
    <w:rsid w:val="000C5854"/>
    <w:rsid w:val="000C62DE"/>
    <w:rsid w:val="000C7479"/>
    <w:rsid w:val="000D073F"/>
    <w:rsid w:val="000D1F55"/>
    <w:rsid w:val="000E04F4"/>
    <w:rsid w:val="000E793B"/>
    <w:rsid w:val="000F08AF"/>
    <w:rsid w:val="000F123F"/>
    <w:rsid w:val="000F3314"/>
    <w:rsid w:val="000F4C34"/>
    <w:rsid w:val="000F661C"/>
    <w:rsid w:val="00115DB6"/>
    <w:rsid w:val="001329CC"/>
    <w:rsid w:val="00132CE7"/>
    <w:rsid w:val="001348A4"/>
    <w:rsid w:val="00141FA5"/>
    <w:rsid w:val="00146E40"/>
    <w:rsid w:val="001475C3"/>
    <w:rsid w:val="00150C45"/>
    <w:rsid w:val="00156935"/>
    <w:rsid w:val="0015787B"/>
    <w:rsid w:val="00161F33"/>
    <w:rsid w:val="00170454"/>
    <w:rsid w:val="00170A9E"/>
    <w:rsid w:val="00177C50"/>
    <w:rsid w:val="001921D2"/>
    <w:rsid w:val="00196C24"/>
    <w:rsid w:val="00197BA7"/>
    <w:rsid w:val="001B1F1A"/>
    <w:rsid w:val="001B2D8D"/>
    <w:rsid w:val="001B4135"/>
    <w:rsid w:val="001B7B44"/>
    <w:rsid w:val="001C29EB"/>
    <w:rsid w:val="001C34E5"/>
    <w:rsid w:val="001D2488"/>
    <w:rsid w:val="001D2923"/>
    <w:rsid w:val="001D63E3"/>
    <w:rsid w:val="001E2A64"/>
    <w:rsid w:val="001F1634"/>
    <w:rsid w:val="002046B5"/>
    <w:rsid w:val="002105B5"/>
    <w:rsid w:val="0021282E"/>
    <w:rsid w:val="00212D72"/>
    <w:rsid w:val="00214110"/>
    <w:rsid w:val="00222879"/>
    <w:rsid w:val="00225EB4"/>
    <w:rsid w:val="0022666D"/>
    <w:rsid w:val="00226CD5"/>
    <w:rsid w:val="002338FA"/>
    <w:rsid w:val="00233AF6"/>
    <w:rsid w:val="002457F7"/>
    <w:rsid w:val="0025422D"/>
    <w:rsid w:val="002549DD"/>
    <w:rsid w:val="00257255"/>
    <w:rsid w:val="00265C70"/>
    <w:rsid w:val="0027734E"/>
    <w:rsid w:val="0027788E"/>
    <w:rsid w:val="002831D5"/>
    <w:rsid w:val="002948C9"/>
    <w:rsid w:val="002A0908"/>
    <w:rsid w:val="002A1B9B"/>
    <w:rsid w:val="002A27E7"/>
    <w:rsid w:val="002A6BF4"/>
    <w:rsid w:val="002C008A"/>
    <w:rsid w:val="002C2797"/>
    <w:rsid w:val="002C7C6F"/>
    <w:rsid w:val="002C7F6B"/>
    <w:rsid w:val="002D0EF3"/>
    <w:rsid w:val="002D7DAE"/>
    <w:rsid w:val="002E6F8F"/>
    <w:rsid w:val="002F5310"/>
    <w:rsid w:val="002F5C39"/>
    <w:rsid w:val="002F7176"/>
    <w:rsid w:val="002F752C"/>
    <w:rsid w:val="00304B63"/>
    <w:rsid w:val="003058EF"/>
    <w:rsid w:val="00305EE1"/>
    <w:rsid w:val="00307194"/>
    <w:rsid w:val="00307A09"/>
    <w:rsid w:val="00317E36"/>
    <w:rsid w:val="00320176"/>
    <w:rsid w:val="00324548"/>
    <w:rsid w:val="003263E9"/>
    <w:rsid w:val="003301FC"/>
    <w:rsid w:val="003309A0"/>
    <w:rsid w:val="00331494"/>
    <w:rsid w:val="0034037E"/>
    <w:rsid w:val="003455E5"/>
    <w:rsid w:val="00362E8F"/>
    <w:rsid w:val="003634CD"/>
    <w:rsid w:val="003726EB"/>
    <w:rsid w:val="00373CDA"/>
    <w:rsid w:val="00380351"/>
    <w:rsid w:val="0038042D"/>
    <w:rsid w:val="003804A6"/>
    <w:rsid w:val="00380DD8"/>
    <w:rsid w:val="0039229E"/>
    <w:rsid w:val="003953E0"/>
    <w:rsid w:val="003A2E93"/>
    <w:rsid w:val="003B2B8C"/>
    <w:rsid w:val="003B474D"/>
    <w:rsid w:val="003B5283"/>
    <w:rsid w:val="003B59B8"/>
    <w:rsid w:val="003C5768"/>
    <w:rsid w:val="003D194F"/>
    <w:rsid w:val="003D226F"/>
    <w:rsid w:val="003D5150"/>
    <w:rsid w:val="003D53B1"/>
    <w:rsid w:val="003D54EB"/>
    <w:rsid w:val="003D5EF3"/>
    <w:rsid w:val="003E333A"/>
    <w:rsid w:val="003E3B36"/>
    <w:rsid w:val="003E3E9F"/>
    <w:rsid w:val="003E656F"/>
    <w:rsid w:val="003F2B45"/>
    <w:rsid w:val="003F53D4"/>
    <w:rsid w:val="003F6B19"/>
    <w:rsid w:val="00400142"/>
    <w:rsid w:val="00403ABF"/>
    <w:rsid w:val="004068DF"/>
    <w:rsid w:val="00412843"/>
    <w:rsid w:val="00430F2B"/>
    <w:rsid w:val="004438B1"/>
    <w:rsid w:val="004448F8"/>
    <w:rsid w:val="004454F8"/>
    <w:rsid w:val="00445A92"/>
    <w:rsid w:val="004529ED"/>
    <w:rsid w:val="004640B3"/>
    <w:rsid w:val="00467A5C"/>
    <w:rsid w:val="00470901"/>
    <w:rsid w:val="00471AEE"/>
    <w:rsid w:val="00472531"/>
    <w:rsid w:val="00475955"/>
    <w:rsid w:val="00475F34"/>
    <w:rsid w:val="00491600"/>
    <w:rsid w:val="004951CA"/>
    <w:rsid w:val="00496E55"/>
    <w:rsid w:val="0049720C"/>
    <w:rsid w:val="004A2DBA"/>
    <w:rsid w:val="004B7BB4"/>
    <w:rsid w:val="004C4852"/>
    <w:rsid w:val="004D1E8F"/>
    <w:rsid w:val="004E08C8"/>
    <w:rsid w:val="004F309E"/>
    <w:rsid w:val="004F5396"/>
    <w:rsid w:val="004F7660"/>
    <w:rsid w:val="005177F2"/>
    <w:rsid w:val="005313EE"/>
    <w:rsid w:val="00531D81"/>
    <w:rsid w:val="005342B3"/>
    <w:rsid w:val="005350C9"/>
    <w:rsid w:val="00536B5C"/>
    <w:rsid w:val="005375DD"/>
    <w:rsid w:val="00540355"/>
    <w:rsid w:val="00540B35"/>
    <w:rsid w:val="00542454"/>
    <w:rsid w:val="00542DC3"/>
    <w:rsid w:val="00542F0F"/>
    <w:rsid w:val="0055159B"/>
    <w:rsid w:val="00556D46"/>
    <w:rsid w:val="00557526"/>
    <w:rsid w:val="005618C0"/>
    <w:rsid w:val="00565230"/>
    <w:rsid w:val="00566B77"/>
    <w:rsid w:val="00566EBA"/>
    <w:rsid w:val="00574CBE"/>
    <w:rsid w:val="00577B30"/>
    <w:rsid w:val="00591E88"/>
    <w:rsid w:val="005921C1"/>
    <w:rsid w:val="00592907"/>
    <w:rsid w:val="005B1C9C"/>
    <w:rsid w:val="005B55FF"/>
    <w:rsid w:val="005B7AA6"/>
    <w:rsid w:val="005C2E5D"/>
    <w:rsid w:val="005D01E5"/>
    <w:rsid w:val="005D3EF7"/>
    <w:rsid w:val="005E1B54"/>
    <w:rsid w:val="005E2801"/>
    <w:rsid w:val="005F309B"/>
    <w:rsid w:val="005F5036"/>
    <w:rsid w:val="006033ED"/>
    <w:rsid w:val="006046CC"/>
    <w:rsid w:val="00612C11"/>
    <w:rsid w:val="0062160E"/>
    <w:rsid w:val="006251E2"/>
    <w:rsid w:val="00632132"/>
    <w:rsid w:val="00633BB7"/>
    <w:rsid w:val="00634429"/>
    <w:rsid w:val="00637520"/>
    <w:rsid w:val="00637DB2"/>
    <w:rsid w:val="00646348"/>
    <w:rsid w:val="00646E9D"/>
    <w:rsid w:val="00647027"/>
    <w:rsid w:val="006477A2"/>
    <w:rsid w:val="00651B70"/>
    <w:rsid w:val="00651C66"/>
    <w:rsid w:val="00652C86"/>
    <w:rsid w:val="00654EB2"/>
    <w:rsid w:val="00660D7A"/>
    <w:rsid w:val="00675833"/>
    <w:rsid w:val="00692F47"/>
    <w:rsid w:val="006A0394"/>
    <w:rsid w:val="006A159B"/>
    <w:rsid w:val="006B3BE3"/>
    <w:rsid w:val="006C2233"/>
    <w:rsid w:val="006D2F81"/>
    <w:rsid w:val="006D45F7"/>
    <w:rsid w:val="006D7EAE"/>
    <w:rsid w:val="006E3EBD"/>
    <w:rsid w:val="006E42F9"/>
    <w:rsid w:val="0070010B"/>
    <w:rsid w:val="00703D93"/>
    <w:rsid w:val="00710ABC"/>
    <w:rsid w:val="00713BE2"/>
    <w:rsid w:val="00716B01"/>
    <w:rsid w:val="00721B0D"/>
    <w:rsid w:val="00723842"/>
    <w:rsid w:val="00723E60"/>
    <w:rsid w:val="00730835"/>
    <w:rsid w:val="007311FA"/>
    <w:rsid w:val="007317D4"/>
    <w:rsid w:val="00750AFE"/>
    <w:rsid w:val="00751604"/>
    <w:rsid w:val="00754AA2"/>
    <w:rsid w:val="0077650D"/>
    <w:rsid w:val="00782C2D"/>
    <w:rsid w:val="00796CC3"/>
    <w:rsid w:val="007A204A"/>
    <w:rsid w:val="007A3C26"/>
    <w:rsid w:val="007B1E57"/>
    <w:rsid w:val="007B57BB"/>
    <w:rsid w:val="007C777F"/>
    <w:rsid w:val="007D4E91"/>
    <w:rsid w:val="007D7408"/>
    <w:rsid w:val="007E4707"/>
    <w:rsid w:val="007F4DE4"/>
    <w:rsid w:val="0080488A"/>
    <w:rsid w:val="00812ADE"/>
    <w:rsid w:val="00813649"/>
    <w:rsid w:val="00813C41"/>
    <w:rsid w:val="0081730E"/>
    <w:rsid w:val="00821207"/>
    <w:rsid w:val="00826869"/>
    <w:rsid w:val="00833BC4"/>
    <w:rsid w:val="00835E71"/>
    <w:rsid w:val="008375A8"/>
    <w:rsid w:val="00837A2A"/>
    <w:rsid w:val="008404EB"/>
    <w:rsid w:val="00840501"/>
    <w:rsid w:val="00841618"/>
    <w:rsid w:val="00842BCC"/>
    <w:rsid w:val="0084467D"/>
    <w:rsid w:val="00846F20"/>
    <w:rsid w:val="00846FA1"/>
    <w:rsid w:val="008604CF"/>
    <w:rsid w:val="008622EA"/>
    <w:rsid w:val="00863957"/>
    <w:rsid w:val="008717F4"/>
    <w:rsid w:val="008725A4"/>
    <w:rsid w:val="0088249A"/>
    <w:rsid w:val="00890244"/>
    <w:rsid w:val="00890606"/>
    <w:rsid w:val="008938E7"/>
    <w:rsid w:val="008953EC"/>
    <w:rsid w:val="0089610B"/>
    <w:rsid w:val="008A21CA"/>
    <w:rsid w:val="008B144E"/>
    <w:rsid w:val="008C0C94"/>
    <w:rsid w:val="008C51AF"/>
    <w:rsid w:val="008D60CF"/>
    <w:rsid w:val="008D7DC9"/>
    <w:rsid w:val="008E5100"/>
    <w:rsid w:val="008E6279"/>
    <w:rsid w:val="008F524A"/>
    <w:rsid w:val="00901D16"/>
    <w:rsid w:val="00911A38"/>
    <w:rsid w:val="009120EB"/>
    <w:rsid w:val="00924EB0"/>
    <w:rsid w:val="0093153B"/>
    <w:rsid w:val="00932153"/>
    <w:rsid w:val="00933B28"/>
    <w:rsid w:val="00934F31"/>
    <w:rsid w:val="00936D86"/>
    <w:rsid w:val="00937DCC"/>
    <w:rsid w:val="00950413"/>
    <w:rsid w:val="00957EF5"/>
    <w:rsid w:val="00963690"/>
    <w:rsid w:val="009636B9"/>
    <w:rsid w:val="00966DA1"/>
    <w:rsid w:val="0097064B"/>
    <w:rsid w:val="009731B7"/>
    <w:rsid w:val="00976F0E"/>
    <w:rsid w:val="009776EA"/>
    <w:rsid w:val="009817E5"/>
    <w:rsid w:val="0098649D"/>
    <w:rsid w:val="009A3566"/>
    <w:rsid w:val="009A65CD"/>
    <w:rsid w:val="009C6390"/>
    <w:rsid w:val="009D3DF3"/>
    <w:rsid w:val="009D4CFD"/>
    <w:rsid w:val="009D7D2D"/>
    <w:rsid w:val="009E4128"/>
    <w:rsid w:val="009F7A1F"/>
    <w:rsid w:val="00A00E82"/>
    <w:rsid w:val="00A03DDD"/>
    <w:rsid w:val="00A1591F"/>
    <w:rsid w:val="00A209D7"/>
    <w:rsid w:val="00A229B1"/>
    <w:rsid w:val="00A2675E"/>
    <w:rsid w:val="00A270A1"/>
    <w:rsid w:val="00A34640"/>
    <w:rsid w:val="00A421F9"/>
    <w:rsid w:val="00A56654"/>
    <w:rsid w:val="00A60C19"/>
    <w:rsid w:val="00A61996"/>
    <w:rsid w:val="00A61E13"/>
    <w:rsid w:val="00A635FC"/>
    <w:rsid w:val="00A66145"/>
    <w:rsid w:val="00A6639C"/>
    <w:rsid w:val="00A76180"/>
    <w:rsid w:val="00A82D6B"/>
    <w:rsid w:val="00A84B74"/>
    <w:rsid w:val="00A84D8B"/>
    <w:rsid w:val="00A862A0"/>
    <w:rsid w:val="00A874B9"/>
    <w:rsid w:val="00A87E18"/>
    <w:rsid w:val="00A941A9"/>
    <w:rsid w:val="00AA653C"/>
    <w:rsid w:val="00AB1662"/>
    <w:rsid w:val="00AB4299"/>
    <w:rsid w:val="00AB51E8"/>
    <w:rsid w:val="00AB6B11"/>
    <w:rsid w:val="00AB7A6F"/>
    <w:rsid w:val="00AC3932"/>
    <w:rsid w:val="00AC5344"/>
    <w:rsid w:val="00AC657A"/>
    <w:rsid w:val="00AD1936"/>
    <w:rsid w:val="00AD644D"/>
    <w:rsid w:val="00AE0F8D"/>
    <w:rsid w:val="00AE6FDF"/>
    <w:rsid w:val="00B01416"/>
    <w:rsid w:val="00B03690"/>
    <w:rsid w:val="00B03BF5"/>
    <w:rsid w:val="00B04045"/>
    <w:rsid w:val="00B04629"/>
    <w:rsid w:val="00B11F9E"/>
    <w:rsid w:val="00B1209A"/>
    <w:rsid w:val="00B1314A"/>
    <w:rsid w:val="00B16652"/>
    <w:rsid w:val="00B206B3"/>
    <w:rsid w:val="00B23276"/>
    <w:rsid w:val="00B2368E"/>
    <w:rsid w:val="00B246E8"/>
    <w:rsid w:val="00B351D9"/>
    <w:rsid w:val="00B37E66"/>
    <w:rsid w:val="00B436D3"/>
    <w:rsid w:val="00B505FC"/>
    <w:rsid w:val="00B534E1"/>
    <w:rsid w:val="00B5673A"/>
    <w:rsid w:val="00B6034F"/>
    <w:rsid w:val="00B712B9"/>
    <w:rsid w:val="00B71EF0"/>
    <w:rsid w:val="00B77358"/>
    <w:rsid w:val="00B81B62"/>
    <w:rsid w:val="00B843FF"/>
    <w:rsid w:val="00B8579F"/>
    <w:rsid w:val="00B86BB5"/>
    <w:rsid w:val="00B86CB8"/>
    <w:rsid w:val="00B9034E"/>
    <w:rsid w:val="00B905F3"/>
    <w:rsid w:val="00BA14DC"/>
    <w:rsid w:val="00BA2F7A"/>
    <w:rsid w:val="00BA38AF"/>
    <w:rsid w:val="00BA7BB1"/>
    <w:rsid w:val="00BB24BC"/>
    <w:rsid w:val="00BB518C"/>
    <w:rsid w:val="00BB6250"/>
    <w:rsid w:val="00BB70BE"/>
    <w:rsid w:val="00BC2BFB"/>
    <w:rsid w:val="00BC469C"/>
    <w:rsid w:val="00BC54CE"/>
    <w:rsid w:val="00BE1DD9"/>
    <w:rsid w:val="00BF04D3"/>
    <w:rsid w:val="00BF0AE6"/>
    <w:rsid w:val="00BF2C02"/>
    <w:rsid w:val="00C001A4"/>
    <w:rsid w:val="00C0112A"/>
    <w:rsid w:val="00C15076"/>
    <w:rsid w:val="00C1751B"/>
    <w:rsid w:val="00C224CB"/>
    <w:rsid w:val="00C25C92"/>
    <w:rsid w:val="00C2606D"/>
    <w:rsid w:val="00C319A2"/>
    <w:rsid w:val="00C36ADB"/>
    <w:rsid w:val="00C36B92"/>
    <w:rsid w:val="00C36E19"/>
    <w:rsid w:val="00C42165"/>
    <w:rsid w:val="00C46763"/>
    <w:rsid w:val="00C543C1"/>
    <w:rsid w:val="00C65CF3"/>
    <w:rsid w:val="00C66FCB"/>
    <w:rsid w:val="00C716FF"/>
    <w:rsid w:val="00C72D89"/>
    <w:rsid w:val="00C758FB"/>
    <w:rsid w:val="00C75A6B"/>
    <w:rsid w:val="00C7663D"/>
    <w:rsid w:val="00C97720"/>
    <w:rsid w:val="00CA060D"/>
    <w:rsid w:val="00CA4655"/>
    <w:rsid w:val="00CA570C"/>
    <w:rsid w:val="00CB16B9"/>
    <w:rsid w:val="00CB319D"/>
    <w:rsid w:val="00CB619A"/>
    <w:rsid w:val="00CB6733"/>
    <w:rsid w:val="00CC2CE1"/>
    <w:rsid w:val="00CD6E6A"/>
    <w:rsid w:val="00CE569A"/>
    <w:rsid w:val="00CF0597"/>
    <w:rsid w:val="00CF5C03"/>
    <w:rsid w:val="00CF5DDB"/>
    <w:rsid w:val="00CF7893"/>
    <w:rsid w:val="00D0733F"/>
    <w:rsid w:val="00D10474"/>
    <w:rsid w:val="00D14474"/>
    <w:rsid w:val="00D2189A"/>
    <w:rsid w:val="00D2229D"/>
    <w:rsid w:val="00D306EF"/>
    <w:rsid w:val="00D33E59"/>
    <w:rsid w:val="00D3513F"/>
    <w:rsid w:val="00D422B3"/>
    <w:rsid w:val="00D42748"/>
    <w:rsid w:val="00D42F66"/>
    <w:rsid w:val="00D4410E"/>
    <w:rsid w:val="00D449A4"/>
    <w:rsid w:val="00D50282"/>
    <w:rsid w:val="00D52C22"/>
    <w:rsid w:val="00D55914"/>
    <w:rsid w:val="00D739EB"/>
    <w:rsid w:val="00D77748"/>
    <w:rsid w:val="00D8128A"/>
    <w:rsid w:val="00D91CB1"/>
    <w:rsid w:val="00D93AE2"/>
    <w:rsid w:val="00D95025"/>
    <w:rsid w:val="00D968E4"/>
    <w:rsid w:val="00D96B69"/>
    <w:rsid w:val="00D97ED2"/>
    <w:rsid w:val="00DA36AF"/>
    <w:rsid w:val="00DC5C90"/>
    <w:rsid w:val="00DC64EC"/>
    <w:rsid w:val="00DD04E4"/>
    <w:rsid w:val="00DD5189"/>
    <w:rsid w:val="00DD538A"/>
    <w:rsid w:val="00DE25D0"/>
    <w:rsid w:val="00DF7BA0"/>
    <w:rsid w:val="00DF7D70"/>
    <w:rsid w:val="00E00ACE"/>
    <w:rsid w:val="00E020BA"/>
    <w:rsid w:val="00E11CAE"/>
    <w:rsid w:val="00E1391C"/>
    <w:rsid w:val="00E24AC7"/>
    <w:rsid w:val="00E25690"/>
    <w:rsid w:val="00E312BA"/>
    <w:rsid w:val="00E32007"/>
    <w:rsid w:val="00E343DF"/>
    <w:rsid w:val="00E34FFE"/>
    <w:rsid w:val="00E36025"/>
    <w:rsid w:val="00E41404"/>
    <w:rsid w:val="00E50673"/>
    <w:rsid w:val="00E51276"/>
    <w:rsid w:val="00E546D3"/>
    <w:rsid w:val="00E5675C"/>
    <w:rsid w:val="00E62930"/>
    <w:rsid w:val="00E64109"/>
    <w:rsid w:val="00E66C54"/>
    <w:rsid w:val="00E75636"/>
    <w:rsid w:val="00E9323C"/>
    <w:rsid w:val="00E93D38"/>
    <w:rsid w:val="00E96341"/>
    <w:rsid w:val="00EA28FB"/>
    <w:rsid w:val="00EA4515"/>
    <w:rsid w:val="00EA6B99"/>
    <w:rsid w:val="00EA7B05"/>
    <w:rsid w:val="00EB0BEA"/>
    <w:rsid w:val="00EB3BAD"/>
    <w:rsid w:val="00EB4507"/>
    <w:rsid w:val="00EB62D0"/>
    <w:rsid w:val="00EB78CD"/>
    <w:rsid w:val="00ED03BE"/>
    <w:rsid w:val="00ED0B35"/>
    <w:rsid w:val="00ED0C9C"/>
    <w:rsid w:val="00ED4107"/>
    <w:rsid w:val="00ED5568"/>
    <w:rsid w:val="00ED713C"/>
    <w:rsid w:val="00EE456D"/>
    <w:rsid w:val="00EE7122"/>
    <w:rsid w:val="00EF1123"/>
    <w:rsid w:val="00EF3331"/>
    <w:rsid w:val="00EF73A4"/>
    <w:rsid w:val="00EF769E"/>
    <w:rsid w:val="00F010BD"/>
    <w:rsid w:val="00F035F8"/>
    <w:rsid w:val="00F056B2"/>
    <w:rsid w:val="00F20216"/>
    <w:rsid w:val="00F216CD"/>
    <w:rsid w:val="00F24C97"/>
    <w:rsid w:val="00F26DAC"/>
    <w:rsid w:val="00F304AC"/>
    <w:rsid w:val="00F312C8"/>
    <w:rsid w:val="00F36E49"/>
    <w:rsid w:val="00F43ECE"/>
    <w:rsid w:val="00F4777F"/>
    <w:rsid w:val="00F62927"/>
    <w:rsid w:val="00F65D34"/>
    <w:rsid w:val="00F713F9"/>
    <w:rsid w:val="00F72E40"/>
    <w:rsid w:val="00F84B2A"/>
    <w:rsid w:val="00F84C72"/>
    <w:rsid w:val="00F96D77"/>
    <w:rsid w:val="00F96F97"/>
    <w:rsid w:val="00FA19FC"/>
    <w:rsid w:val="00FA32D2"/>
    <w:rsid w:val="00FA4295"/>
    <w:rsid w:val="00FA7CB3"/>
    <w:rsid w:val="00FB2D71"/>
    <w:rsid w:val="00FB3396"/>
    <w:rsid w:val="00FB3943"/>
    <w:rsid w:val="00FB63EF"/>
    <w:rsid w:val="00FB71B4"/>
    <w:rsid w:val="00FC2353"/>
    <w:rsid w:val="00FC3752"/>
    <w:rsid w:val="00FD227E"/>
    <w:rsid w:val="00FD2280"/>
    <w:rsid w:val="00FD4948"/>
    <w:rsid w:val="00FD6694"/>
    <w:rsid w:val="00FE582C"/>
    <w:rsid w:val="00FE773E"/>
    <w:rsid w:val="00FF576F"/>
    <w:rsid w:val="00FF5F0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09D8-4B22-40D5-A7F5-3D33269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AF"/>
  </w:style>
  <w:style w:type="paragraph" w:styleId="Titre1">
    <w:name w:val="heading 1"/>
    <w:basedOn w:val="Normal"/>
    <w:next w:val="Normal"/>
    <w:link w:val="Titre1Car"/>
    <w:uiPriority w:val="9"/>
    <w:qFormat/>
    <w:rsid w:val="0063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82E"/>
    <w:pPr>
      <w:ind w:left="720"/>
      <w:contextualSpacing/>
    </w:pPr>
  </w:style>
  <w:style w:type="paragraph" w:styleId="NormalWeb">
    <w:name w:val="Normal (Web)"/>
    <w:basedOn w:val="Normal"/>
    <w:rsid w:val="00EB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BA14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B51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91F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933B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olicepardfaut1">
    <w:name w:val="Police par défaut1"/>
    <w:rsid w:val="00933B28"/>
  </w:style>
  <w:style w:type="paragraph" w:customStyle="1" w:styleId="Default">
    <w:name w:val="Default"/>
    <w:rsid w:val="00E56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37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10D2-9202-4DAB-A6AE-CDD763EA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soulignac</cp:lastModifiedBy>
  <cp:revision>3</cp:revision>
  <cp:lastPrinted>2020-02-20T15:14:00Z</cp:lastPrinted>
  <dcterms:created xsi:type="dcterms:W3CDTF">2020-05-05T14:54:00Z</dcterms:created>
  <dcterms:modified xsi:type="dcterms:W3CDTF">2020-05-05T14:55:00Z</dcterms:modified>
</cp:coreProperties>
</file>